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99EC9" w14:textId="58CEF023" w:rsidR="00DC3306" w:rsidRDefault="00777C83">
      <w:pPr>
        <w:pStyle w:val="Subttulo"/>
        <w:rPr>
          <w:i w:val="0"/>
          <w:sz w:val="24"/>
          <w:szCs w:val="24"/>
        </w:rPr>
      </w:pPr>
      <w:r>
        <w:rPr>
          <w:i w:val="0"/>
          <w:sz w:val="24"/>
          <w:szCs w:val="24"/>
          <w:lang w:val="pt-BR"/>
        </w:rPr>
        <w:t>O olhar do Nutricionista em relação às causas de bem-estar no Trabalho</w:t>
      </w:r>
      <w:r w:rsidR="0083563D">
        <w:rPr>
          <w:i w:val="0"/>
          <w:sz w:val="24"/>
          <w:szCs w:val="24"/>
          <w:vertAlign w:val="superscript"/>
        </w:rPr>
        <w:footnoteReference w:id="1"/>
      </w:r>
    </w:p>
    <w:p w14:paraId="197D3E1E" w14:textId="77777777" w:rsidR="00DC3306" w:rsidRDefault="00DC3306"/>
    <w:p w14:paraId="74C4C81B" w14:textId="77777777" w:rsidR="00DC3306" w:rsidRDefault="00B52C0A">
      <w:pPr>
        <w:jc w:val="center"/>
      </w:pPr>
      <w:r>
        <w:t>LIMA</w:t>
      </w:r>
      <w:r w:rsidR="0083563D">
        <w:t xml:space="preserve">, </w:t>
      </w:r>
      <w:proofErr w:type="spellStart"/>
      <w:r>
        <w:rPr>
          <w:lang w:val="pt-BR"/>
        </w:rPr>
        <w:t>Lewestter</w:t>
      </w:r>
      <w:proofErr w:type="spellEnd"/>
      <w:r w:rsidR="0083563D">
        <w:rPr>
          <w:vertAlign w:val="superscript"/>
        </w:rPr>
        <w:footnoteReference w:id="2"/>
      </w:r>
    </w:p>
    <w:p w14:paraId="3C3DB164" w14:textId="77777777" w:rsidR="00DC3306" w:rsidRDefault="0083563D">
      <w:pPr>
        <w:jc w:val="center"/>
      </w:pPr>
      <w:r>
        <w:t>Faculdade Laboro</w:t>
      </w:r>
      <w:r w:rsidR="00782F42">
        <w:rPr>
          <w:lang w:val="pt-BR"/>
        </w:rPr>
        <w:t>,</w:t>
      </w:r>
      <w:r>
        <w:t xml:space="preserve"> Brasília- BSB</w:t>
      </w:r>
    </w:p>
    <w:p w14:paraId="25CB0D4A" w14:textId="77777777" w:rsidR="00DC3306" w:rsidRDefault="00DC3306">
      <w:pPr>
        <w:jc w:val="center"/>
      </w:pPr>
    </w:p>
    <w:p w14:paraId="79C9A00E" w14:textId="77777777" w:rsidR="00DC3306" w:rsidRDefault="0083563D">
      <w:pPr>
        <w:pStyle w:val="Ttulo1"/>
        <w:spacing w:line="276" w:lineRule="auto"/>
      </w:pPr>
      <w:r>
        <w:t xml:space="preserve">Resumo </w:t>
      </w:r>
    </w:p>
    <w:p w14:paraId="60669008" w14:textId="766D611F" w:rsidR="003B3830" w:rsidRPr="00C57A73" w:rsidRDefault="00C57A73" w:rsidP="00BD470D">
      <w:pPr>
        <w:jc w:val="both"/>
        <w:rPr>
          <w:lang w:val="pt-BR"/>
        </w:rPr>
      </w:pPr>
      <w:r>
        <w:rPr>
          <w:lang w:val="pt-BR"/>
        </w:rPr>
        <w:t xml:space="preserve">Observa-se que um ambiente de trabalho agradável é fundamental para uma boa produtividade. A atuação do nutricionista e a definição de área de atuação, como limitação de trabalho são fundamentais para se realizar </w:t>
      </w:r>
      <w:r w:rsidR="003B3830">
        <w:rPr>
          <w:lang w:val="pt-BR"/>
        </w:rPr>
        <w:t>um bom trabalho por esse profissional que possui um pouco mais de 50 anos</w:t>
      </w:r>
      <w:r w:rsidR="00E11ABC">
        <w:rPr>
          <w:lang w:val="pt-BR"/>
        </w:rPr>
        <w:t xml:space="preserve"> de atuação. O presente trabalho</w:t>
      </w:r>
      <w:r w:rsidR="003B3830">
        <w:rPr>
          <w:lang w:val="pt-BR"/>
        </w:rPr>
        <w:t xml:space="preserve"> pretende discutir com base científica a importância de bem-estar desse profissional. </w:t>
      </w:r>
    </w:p>
    <w:p w14:paraId="29BF89EE" w14:textId="77777777" w:rsidR="00DC3306" w:rsidRDefault="00DC3306" w:rsidP="003B3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p w14:paraId="341B3106" w14:textId="77777777" w:rsidR="00DC3306" w:rsidRPr="00DD54A7" w:rsidRDefault="0083563D" w:rsidP="003B3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lang w:val="pt-BR"/>
        </w:rPr>
      </w:pPr>
      <w:r>
        <w:rPr>
          <w:b/>
          <w:color w:val="000000"/>
        </w:rPr>
        <w:t>Palavras-chave</w:t>
      </w:r>
      <w:r w:rsidRPr="00DD54A7">
        <w:rPr>
          <w:b/>
        </w:rPr>
        <w:t xml:space="preserve">: </w:t>
      </w:r>
      <w:r w:rsidR="00DD54A7" w:rsidRPr="00DD54A7">
        <w:rPr>
          <w:lang w:val="pt-BR"/>
        </w:rPr>
        <w:t xml:space="preserve">bem estar, qualidade de vida, satisfação, nutricionista. </w:t>
      </w:r>
    </w:p>
    <w:p w14:paraId="12348A8D" w14:textId="77777777" w:rsidR="00DC3306" w:rsidRDefault="00DC3306" w:rsidP="003B38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04B3EEC3" w14:textId="3AA473DC" w:rsidR="00DD54A7" w:rsidRPr="00291540" w:rsidRDefault="00DD54A7" w:rsidP="003B3830">
      <w:pPr>
        <w:pStyle w:val="Padro"/>
        <w:spacing w:line="360" w:lineRule="auto"/>
        <w:ind w:firstLine="360"/>
        <w:jc w:val="both"/>
        <w:rPr>
          <w:color w:val="auto"/>
          <w:sz w:val="24"/>
          <w:szCs w:val="24"/>
        </w:rPr>
      </w:pPr>
      <w:bookmarkStart w:id="0" w:name="_gjdgxs" w:colFirst="0" w:colLast="0"/>
      <w:bookmarkEnd w:id="0"/>
      <w:r w:rsidRPr="004E02E3">
        <w:rPr>
          <w:color w:val="auto"/>
          <w:sz w:val="24"/>
          <w:szCs w:val="24"/>
        </w:rPr>
        <w:t xml:space="preserve">Os cursos de nutrição surgiram na América do Norte sobre a perspectiva de profissionais </w:t>
      </w:r>
      <w:proofErr w:type="spellStart"/>
      <w:r w:rsidRPr="004E02E3">
        <w:rPr>
          <w:color w:val="auto"/>
          <w:sz w:val="24"/>
          <w:szCs w:val="24"/>
        </w:rPr>
        <w:t>dietistas</w:t>
      </w:r>
      <w:proofErr w:type="spellEnd"/>
      <w:r w:rsidRPr="004E02E3">
        <w:rPr>
          <w:color w:val="auto"/>
          <w:sz w:val="24"/>
          <w:szCs w:val="24"/>
        </w:rPr>
        <w:t xml:space="preserve"> em 1902. No Brasil, a nomenclatura nutricionista passou a ser </w:t>
      </w:r>
      <w:proofErr w:type="gramStart"/>
      <w:r w:rsidRPr="00291540">
        <w:rPr>
          <w:color w:val="auto"/>
          <w:sz w:val="24"/>
          <w:szCs w:val="24"/>
        </w:rPr>
        <w:t>utilizada</w:t>
      </w:r>
      <w:proofErr w:type="gramEnd"/>
      <w:r w:rsidRPr="00291540">
        <w:rPr>
          <w:color w:val="auto"/>
          <w:sz w:val="24"/>
          <w:szCs w:val="24"/>
        </w:rPr>
        <w:t xml:space="preserve"> desde a fundação do primeiro curso de Nutrição na Faculdade de Saúde Pública da Universidade de São Paulo (USP) em 1939, com duração de um ano, sendo ministrado por </w:t>
      </w:r>
      <w:proofErr w:type="spellStart"/>
      <w:r w:rsidRPr="00291540">
        <w:rPr>
          <w:color w:val="auto"/>
          <w:sz w:val="24"/>
          <w:szCs w:val="24"/>
        </w:rPr>
        <w:t>nutrólogos</w:t>
      </w:r>
      <w:proofErr w:type="spellEnd"/>
      <w:r w:rsidRPr="00291540">
        <w:rPr>
          <w:color w:val="auto"/>
          <w:sz w:val="24"/>
          <w:szCs w:val="24"/>
        </w:rPr>
        <w:t xml:space="preserve">. Apesar dos primeiros cursos no país começarem a surgir a partir de 1939, só apenas em 1967, efetivamente que foi regulamentado pelo Conselho Federal de Educação reconhecendo assim como forma de graduação, sendo em 1974 a instituição dos Conselhos Regionais de Nutricionistas como forma efetiva de regulamentação da profissão. </w:t>
      </w:r>
      <w:r w:rsidR="00777C83" w:rsidRPr="00291540">
        <w:rPr>
          <w:color w:val="auto"/>
          <w:sz w:val="24"/>
          <w:szCs w:val="24"/>
        </w:rPr>
        <w:t>(AKUTSU, 2008)</w:t>
      </w:r>
    </w:p>
    <w:p w14:paraId="05DB5069" w14:textId="168A4429" w:rsidR="00DD54A7" w:rsidRPr="00291540" w:rsidRDefault="00DD54A7" w:rsidP="00E11ABC">
      <w:pPr>
        <w:spacing w:line="360" w:lineRule="auto"/>
        <w:ind w:firstLine="360"/>
        <w:jc w:val="both"/>
        <w:rPr>
          <w:lang w:val="pt-BR"/>
        </w:rPr>
      </w:pPr>
      <w:r w:rsidRPr="00291540">
        <w:t>A partir das décadas de 50 e 60,  o profissional de nutrição no Brasil passa a ter uma nova demanda com uma atuação em serviços de alimentação para coletividade ou para planos individuais, em decorrência de interesses vi</w:t>
      </w:r>
      <w:r w:rsidR="00777C83" w:rsidRPr="00291540">
        <w:t>nculados a</w:t>
      </w:r>
      <w:bookmarkStart w:id="1" w:name="_GoBack"/>
      <w:bookmarkEnd w:id="1"/>
      <w:r w:rsidR="00777C83" w:rsidRPr="00291540">
        <w:t xml:space="preserve"> política e ao Estado. </w:t>
      </w:r>
      <w:r w:rsidR="00B61D58" w:rsidRPr="00291540">
        <w:rPr>
          <w:lang w:val="pt-BR"/>
        </w:rPr>
        <w:t>(HADDAD et. al., 2006)</w:t>
      </w:r>
    </w:p>
    <w:p w14:paraId="49A88E02" w14:textId="251303A1" w:rsidR="00DD54A7" w:rsidRPr="00291540" w:rsidRDefault="00DD54A7" w:rsidP="00DD54A7">
      <w:pPr>
        <w:spacing w:line="360" w:lineRule="auto"/>
        <w:jc w:val="both"/>
      </w:pPr>
      <w:r w:rsidRPr="00291540">
        <w:tab/>
        <w:t xml:space="preserve">Assim, o Nutricionista passa a atuar principalmente na área de alimentação coletiva e saúde coletiva, devido ao surgimento das SAPS (Serviços de Alimentação da Previdência Social) introduzindo um conjunto de políticas sociais relacionados à alimentação e nutrição no Brasil como forma de garantir ao cidadão a alimentação, dentre </w:t>
      </w:r>
      <w:r w:rsidRPr="00291540">
        <w:lastRenderedPageBreak/>
        <w:t xml:space="preserve">os quais podemos citar o II Programa Nacional de Alimentaçãlo e Nutrição (IIPRONAN) e a criação do Instituto Nacional de Alimentação e Nutrição  (INAN), órgão de combate à fome e à desnutrição na década de 80. </w:t>
      </w:r>
      <w:r w:rsidR="00777C83" w:rsidRPr="00291540">
        <w:t>(PINHEIRO, 2009)</w:t>
      </w:r>
    </w:p>
    <w:p w14:paraId="625CAF9A" w14:textId="0B224739" w:rsidR="00DD54A7" w:rsidRPr="00291540" w:rsidRDefault="00DD54A7" w:rsidP="00DD54A7">
      <w:pPr>
        <w:spacing w:line="360" w:lineRule="auto"/>
        <w:ind w:firstLine="708"/>
        <w:jc w:val="both"/>
      </w:pPr>
      <w:r w:rsidRPr="00291540">
        <w:t>Outro marco importante foi a instituição da</w:t>
      </w:r>
      <w:r w:rsidRPr="00291540">
        <w:rPr>
          <w:rFonts w:eastAsia="Times Roman"/>
          <w:bdr w:val="nil"/>
        </w:rPr>
        <w:t xml:space="preserve">s Diretrizes Curriculares Nacionais (DCN) dos cursos de graduação em nutrição aprovadas pelo parecer CES/CNE nº 1133/2001, sancionado em 7 de agosto de 2001 e que,  posteriormente foram transformadas na Resolução nº 5/2001 (DOU de 9/11/2001), que institui as DCN do curso de graduação em Nutrição em substituição ao currículo mínimo. </w:t>
      </w:r>
      <w:r w:rsidR="00777C83" w:rsidRPr="00291540">
        <w:rPr>
          <w:rFonts w:eastAsia="Times Roman"/>
          <w:bdr w:val="nil"/>
        </w:rPr>
        <w:t>(CALADO, 2003). </w:t>
      </w:r>
    </w:p>
    <w:p w14:paraId="18C98EB9" w14:textId="2778C3F4" w:rsidR="00DD54A7" w:rsidRPr="00291540" w:rsidRDefault="00DD54A7" w:rsidP="00DD54A7">
      <w:pPr>
        <w:spacing w:line="360" w:lineRule="auto"/>
        <w:jc w:val="both"/>
      </w:pPr>
      <w:r w:rsidRPr="00291540">
        <w:tab/>
        <w:t>Atualmente, o Conselho Federal de Nutricionistas (CFN), segundo a Resolução CFN 600/2018, reconhece seis áreas na atuação do nutricionista, que são : Nutrição em Alimentação Coletiva ; Nutrição Clínica ; Nutrição em Saúde Coletiva ; Nutriçã</w:t>
      </w:r>
      <w:r w:rsidR="00E11ABC" w:rsidRPr="00291540">
        <w:rPr>
          <w:lang w:val="pt-BR"/>
        </w:rPr>
        <w:t>o</w:t>
      </w:r>
      <w:r w:rsidRPr="00291540">
        <w:t xml:space="preserve"> no Ensino, Pesquisa e Extensão ; Nutrição na Cadeia de Produção, na Indútria e no Comércio de Alimentos ; Nutrição em Esportes e Exercício Físico.  </w:t>
      </w:r>
    </w:p>
    <w:p w14:paraId="077518A4" w14:textId="48DD7E04" w:rsidR="00DD54A7" w:rsidRPr="00291540" w:rsidRDefault="00DD54A7" w:rsidP="00DD54A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291540">
        <w:rPr>
          <w:bCs/>
        </w:rPr>
        <w:t xml:space="preserve">O bem-estar no trabalho se torna perspectiva de análise de grandes empresas para garantir uma atuação produtiva de seus funcionários. Sendo assim, o bem-estar é uma estado afetivo se diferenciando em negativo e positivo onde ocorre a demonstração da realização pessoal, de experiência e habilidades ao longo da vida do indivíduo. </w:t>
      </w:r>
      <w:r w:rsidR="00777C83" w:rsidRPr="00291540">
        <w:rPr>
          <w:bCs/>
        </w:rPr>
        <w:t>(SOBRINHO &amp; PORTO, 2012 apud WATERMAN, 1993)</w:t>
      </w:r>
    </w:p>
    <w:p w14:paraId="323EFF5B" w14:textId="32442EC4" w:rsidR="00DD54A7" w:rsidRPr="00291540" w:rsidRDefault="00DD54A7" w:rsidP="00777C8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291540">
        <w:rPr>
          <w:bCs/>
        </w:rPr>
        <w:t xml:space="preserve">Para o positivismo o bem-estar se torna sinônimo de felicidade considerando aspectos negativos como o estresse, exaustão como formas de baixo rendimento do trabalhador. </w:t>
      </w:r>
      <w:r w:rsidR="00777C83" w:rsidRPr="00291540">
        <w:rPr>
          <w:bCs/>
        </w:rPr>
        <w:t>(SOBRINHO &amp; PORTO, 2012 apud PASCHOAL, TORRES, &amp; PORTO, 2010)</w:t>
      </w:r>
    </w:p>
    <w:p w14:paraId="35D70D3E" w14:textId="5EBD52FA" w:rsidR="00DD54A7" w:rsidRPr="00DD54A7" w:rsidRDefault="00DD54A7" w:rsidP="00DD54A7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  <w:r w:rsidRPr="00291540">
        <w:t>Ao buscar o estado da arte no que se refere ao bem estar dos profissionais de Nutrição , a literatura aponta para os trabalhos de AKUTSU (2008), que traz em sua tese de doutorado “Valores e Bem-Estar dos Nutricionistas Brasieiro”</w:t>
      </w:r>
      <w:r w:rsidRPr="00291540">
        <w:rPr>
          <w:lang w:val="pt-BR"/>
        </w:rPr>
        <w:t xml:space="preserve"> </w:t>
      </w:r>
      <w:r w:rsidRPr="00291540">
        <w:t xml:space="preserve">a avaliação do bem-estar no trabalho e valores no trabalho do Nutricionista, se baseando em estudos realizados com outros profissionais tendo como base </w:t>
      </w:r>
      <w:r w:rsidRPr="00291540">
        <w:rPr>
          <w:bCs/>
        </w:rPr>
        <w:t>TAMAYO</w:t>
      </w:r>
      <w:r w:rsidR="00B61D58" w:rsidRPr="00291540">
        <w:rPr>
          <w:bCs/>
        </w:rPr>
        <w:t xml:space="preserve"> </w:t>
      </w:r>
      <w:r w:rsidR="00B61D58" w:rsidRPr="00291540">
        <w:rPr>
          <w:bCs/>
          <w:lang w:val="pt-BR"/>
        </w:rPr>
        <w:t>(</w:t>
      </w:r>
      <w:r w:rsidR="00B61D58" w:rsidRPr="00291540">
        <w:rPr>
          <w:bCs/>
        </w:rPr>
        <w:t>2004</w:t>
      </w:r>
      <w:r w:rsidRPr="00291540">
        <w:rPr>
          <w:bCs/>
        </w:rPr>
        <w:t>).</w:t>
      </w:r>
      <w:r w:rsidRPr="004E02E3">
        <w:rPr>
          <w:bCs/>
        </w:rPr>
        <w:t xml:space="preserve"> </w:t>
      </w:r>
    </w:p>
    <w:p w14:paraId="1623CC6E" w14:textId="77777777" w:rsidR="00DC3306" w:rsidRDefault="00DC3306">
      <w:pPr>
        <w:widowControl w:val="0"/>
        <w:spacing w:line="360" w:lineRule="auto"/>
        <w:ind w:firstLine="709"/>
        <w:jc w:val="both"/>
        <w:rPr>
          <w:lang w:val="pt-BR"/>
        </w:rPr>
      </w:pPr>
    </w:p>
    <w:p w14:paraId="4599A5F4" w14:textId="77777777" w:rsidR="00BD470D" w:rsidRDefault="00BD470D">
      <w:pPr>
        <w:widowControl w:val="0"/>
        <w:spacing w:line="360" w:lineRule="auto"/>
        <w:ind w:firstLine="709"/>
        <w:jc w:val="both"/>
        <w:rPr>
          <w:lang w:val="pt-BR"/>
        </w:rPr>
      </w:pPr>
    </w:p>
    <w:p w14:paraId="5F021EF0" w14:textId="77777777" w:rsidR="00E11ABC" w:rsidRDefault="00E11ABC">
      <w:pPr>
        <w:widowControl w:val="0"/>
        <w:spacing w:line="360" w:lineRule="auto"/>
        <w:ind w:firstLine="709"/>
        <w:jc w:val="both"/>
        <w:rPr>
          <w:lang w:val="pt-BR"/>
        </w:rPr>
      </w:pPr>
    </w:p>
    <w:p w14:paraId="32805F4D" w14:textId="77777777" w:rsidR="00BD470D" w:rsidRPr="00BD470D" w:rsidRDefault="00BD470D">
      <w:pPr>
        <w:widowControl w:val="0"/>
        <w:spacing w:line="360" w:lineRule="auto"/>
        <w:ind w:firstLine="709"/>
        <w:jc w:val="both"/>
        <w:rPr>
          <w:lang w:val="pt-BR"/>
        </w:rPr>
      </w:pPr>
    </w:p>
    <w:p w14:paraId="51A4889A" w14:textId="77777777" w:rsidR="00DC3306" w:rsidRDefault="0083563D">
      <w:pPr>
        <w:jc w:val="both"/>
        <w:rPr>
          <w:b/>
        </w:rPr>
      </w:pPr>
      <w:bookmarkStart w:id="2" w:name="_jhk6yxioabu9" w:colFirst="0" w:colLast="0"/>
      <w:bookmarkEnd w:id="2"/>
      <w:r>
        <w:rPr>
          <w:b/>
        </w:rPr>
        <w:lastRenderedPageBreak/>
        <w:t>Referências bibliográficas</w:t>
      </w:r>
    </w:p>
    <w:p w14:paraId="01D4E8C4" w14:textId="77777777" w:rsidR="00BD470D" w:rsidRDefault="00BD470D">
      <w:pPr>
        <w:jc w:val="both"/>
        <w:rPr>
          <w:b/>
        </w:rPr>
      </w:pPr>
    </w:p>
    <w:p w14:paraId="301968AB" w14:textId="77777777" w:rsidR="00DD54A7" w:rsidRPr="00291540" w:rsidRDefault="00DD54A7" w:rsidP="00BD470D">
      <w:pPr>
        <w:jc w:val="both"/>
      </w:pPr>
      <w:r w:rsidRPr="00291540">
        <w:t>AKUTSU, R.C.C.A. Valores e Bem-estar dos Nutricionistas Brasileiros. Tese de doutorado. Faculdade de Ciência da Saúde, Universidade de Brasília. Brasília, 2008.</w:t>
      </w:r>
    </w:p>
    <w:p w14:paraId="04B1E069" w14:textId="77777777" w:rsidR="00DD54A7" w:rsidRPr="00291540" w:rsidRDefault="00DD54A7" w:rsidP="00BD470D">
      <w:pPr>
        <w:autoSpaceDE w:val="0"/>
        <w:autoSpaceDN w:val="0"/>
        <w:adjustRightInd w:val="0"/>
        <w:jc w:val="both"/>
      </w:pPr>
    </w:p>
    <w:p w14:paraId="36FAD517" w14:textId="77777777" w:rsidR="00DD54A7" w:rsidRPr="00291540" w:rsidRDefault="00DD54A7" w:rsidP="00BD470D">
      <w:pPr>
        <w:autoSpaceDE w:val="0"/>
        <w:autoSpaceDN w:val="0"/>
        <w:adjustRightInd w:val="0"/>
        <w:jc w:val="both"/>
      </w:pPr>
      <w:r w:rsidRPr="00291540">
        <w:t xml:space="preserve">CALADO CLA. </w:t>
      </w:r>
      <w:r w:rsidRPr="00291540">
        <w:rPr>
          <w:b/>
        </w:rPr>
        <w:t>A expansão dos cursos de nutrição no Brasil e a nova lei de diretrizes e bases - LDB</w:t>
      </w:r>
      <w:r w:rsidRPr="00291540">
        <w:t>. 2003. Conselho Federal de Nutricionistas/CFN.</w:t>
      </w:r>
    </w:p>
    <w:p w14:paraId="26F8A75E" w14:textId="77777777" w:rsidR="00B61D58" w:rsidRPr="00291540" w:rsidRDefault="00B61D58" w:rsidP="00BD470D">
      <w:pPr>
        <w:jc w:val="both"/>
      </w:pPr>
    </w:p>
    <w:p w14:paraId="2C3975D3" w14:textId="4533C50B" w:rsidR="00B61D58" w:rsidRPr="00291540" w:rsidRDefault="00B61D58" w:rsidP="00BD470D">
      <w:pPr>
        <w:jc w:val="both"/>
        <w:rPr>
          <w:lang w:val="pt-BR"/>
        </w:rPr>
      </w:pPr>
      <w:r w:rsidRPr="00291540">
        <w:rPr>
          <w:lang w:val="pt-BR"/>
        </w:rPr>
        <w:t xml:space="preserve">HADDAD, A.E, A Trajetória dos cursos de graduação na área de saúde. Instituto Nacional de Estudos e Pesquisas Educacionais Anísio Teixeira. </w:t>
      </w:r>
      <w:r w:rsidR="00D55EDE" w:rsidRPr="00291540">
        <w:rPr>
          <w:lang w:val="pt-BR"/>
        </w:rPr>
        <w:t xml:space="preserve">Brasília. </w:t>
      </w:r>
      <w:r w:rsidRPr="00291540">
        <w:rPr>
          <w:lang w:val="pt-BR"/>
        </w:rPr>
        <w:t xml:space="preserve">2006. </w:t>
      </w:r>
    </w:p>
    <w:p w14:paraId="16420360" w14:textId="77777777" w:rsidR="00DD54A7" w:rsidRPr="00291540" w:rsidRDefault="00DD54A7" w:rsidP="00BD470D">
      <w:pPr>
        <w:jc w:val="both"/>
      </w:pPr>
    </w:p>
    <w:p w14:paraId="7ED35D4E" w14:textId="77777777" w:rsidR="00DD54A7" w:rsidRPr="00291540" w:rsidRDefault="00DD54A7" w:rsidP="00BD470D">
      <w:pPr>
        <w:jc w:val="both"/>
      </w:pPr>
    </w:p>
    <w:p w14:paraId="0DAF702D" w14:textId="77777777" w:rsidR="00DD54A7" w:rsidRPr="00291540" w:rsidRDefault="00DD54A7" w:rsidP="00BD470D">
      <w:pPr>
        <w:jc w:val="both"/>
      </w:pPr>
      <w:r w:rsidRPr="00291540">
        <w:t>PINHEIRO, A.R.O. Análise histórica do processo de formação da Política de Segurança Alimentar e Nutricional (2003-2006): atores, ideias, interesses, instituições na construção do consenso político. 239 f. Tese (Doutorado em Política Social)- Instituto de Ciências Humanas, Universidade de Brasília, 2009.</w:t>
      </w:r>
    </w:p>
    <w:p w14:paraId="1E6F251F" w14:textId="77777777" w:rsidR="00DD54A7" w:rsidRPr="00291540" w:rsidRDefault="00DD54A7" w:rsidP="00BD470D">
      <w:pPr>
        <w:jc w:val="both"/>
        <w:rPr>
          <w:bCs/>
        </w:rPr>
      </w:pPr>
    </w:p>
    <w:p w14:paraId="28EFE7A3" w14:textId="77777777" w:rsidR="00DD54A7" w:rsidRPr="00291540" w:rsidRDefault="00DD54A7" w:rsidP="00BD470D">
      <w:pPr>
        <w:jc w:val="both"/>
        <w:rPr>
          <w:bCs/>
        </w:rPr>
      </w:pPr>
      <w:r w:rsidRPr="00291540">
        <w:rPr>
          <w:bCs/>
        </w:rPr>
        <w:t xml:space="preserve">SOBRINHO, F.R. &amp; PORTO, J.B. Bem-Estar no Trabalho: um estudo sobre suas relações com Clima Social, </w:t>
      </w:r>
      <w:r w:rsidRPr="00291540">
        <w:rPr>
          <w:bCs/>
          <w:i/>
        </w:rPr>
        <w:t xml:space="preserve">Copimg </w:t>
      </w:r>
      <w:r w:rsidRPr="00291540">
        <w:rPr>
          <w:bCs/>
        </w:rPr>
        <w:t>e Variáveis Demográficas. Universidade Católica de Brasília- UCB, Brasília. 2012.</w:t>
      </w:r>
    </w:p>
    <w:p w14:paraId="169615BC" w14:textId="77777777" w:rsidR="00DD54A7" w:rsidRPr="00291540" w:rsidRDefault="00DD54A7" w:rsidP="00BD470D">
      <w:pPr>
        <w:autoSpaceDE w:val="0"/>
        <w:autoSpaceDN w:val="0"/>
        <w:adjustRightInd w:val="0"/>
        <w:jc w:val="both"/>
      </w:pPr>
    </w:p>
    <w:p w14:paraId="16CC85A5" w14:textId="77777777" w:rsidR="00DD54A7" w:rsidRPr="004E02E3" w:rsidRDefault="00DD54A7" w:rsidP="00BD470D">
      <w:pPr>
        <w:autoSpaceDE w:val="0"/>
        <w:autoSpaceDN w:val="0"/>
        <w:adjustRightInd w:val="0"/>
        <w:jc w:val="both"/>
        <w:rPr>
          <w:rFonts w:eastAsia="Arial Unicode MS"/>
          <w:lang w:val="pt-BR"/>
        </w:rPr>
      </w:pPr>
      <w:r w:rsidRPr="00291540">
        <w:t>TAMAYO A. (Org). Cultura e saúde nas organizações. Porto alegre : Artmed. 2004.</w:t>
      </w:r>
      <w:r w:rsidRPr="004E02E3">
        <w:t xml:space="preserve"> </w:t>
      </w:r>
    </w:p>
    <w:p w14:paraId="3F2FD532" w14:textId="77777777" w:rsidR="00DD54A7" w:rsidRDefault="00DD54A7" w:rsidP="00BD470D">
      <w:pPr>
        <w:autoSpaceDE w:val="0"/>
        <w:autoSpaceDN w:val="0"/>
        <w:adjustRightInd w:val="0"/>
        <w:jc w:val="both"/>
      </w:pPr>
    </w:p>
    <w:p w14:paraId="55CB913A" w14:textId="77777777" w:rsidR="00DC3306" w:rsidRDefault="00DC3306" w:rsidP="00BD470D">
      <w:pPr>
        <w:widowControl w:val="0"/>
        <w:jc w:val="both"/>
      </w:pPr>
    </w:p>
    <w:sectPr w:rsidR="00DC3306">
      <w:headerReference w:type="default" r:id="rId6"/>
      <w:footerReference w:type="even" r:id="rId7"/>
      <w:footerReference w:type="default" r:id="rId8"/>
      <w:pgSz w:w="11907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D2692" w14:textId="77777777" w:rsidR="0051197D" w:rsidRDefault="0051197D">
      <w:r>
        <w:separator/>
      </w:r>
    </w:p>
  </w:endnote>
  <w:endnote w:type="continuationSeparator" w:id="0">
    <w:p w14:paraId="18432B85" w14:textId="77777777" w:rsidR="0051197D" w:rsidRDefault="0051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20206030504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4E8D4" w14:textId="77777777" w:rsidR="00DC3306" w:rsidRDefault="008356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A14F013" w14:textId="77777777" w:rsidR="00DC3306" w:rsidRDefault="00DC3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75E60" w14:textId="77777777" w:rsidR="00DC3306" w:rsidRDefault="008356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C25D5B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D1C5ED1" w14:textId="77777777" w:rsidR="00DC3306" w:rsidRDefault="00DC3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DF97B" w14:textId="77777777" w:rsidR="0051197D" w:rsidRDefault="0051197D">
      <w:r>
        <w:separator/>
      </w:r>
    </w:p>
  </w:footnote>
  <w:footnote w:type="continuationSeparator" w:id="0">
    <w:p w14:paraId="50EC4C0B" w14:textId="77777777" w:rsidR="0051197D" w:rsidRDefault="0051197D">
      <w:r>
        <w:continuationSeparator/>
      </w:r>
    </w:p>
  </w:footnote>
  <w:footnote w:id="1">
    <w:p w14:paraId="73BE2549" w14:textId="77777777" w:rsidR="00DC3306" w:rsidRDefault="00835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>¹ Trabalho apresentado à disciplina Produção e Inovação Científica ministrada em 2</w:t>
      </w:r>
      <w:r w:rsidR="00B52C0A">
        <w:rPr>
          <w:color w:val="000000"/>
          <w:sz w:val="16"/>
          <w:szCs w:val="16"/>
          <w:lang w:val="pt-BR"/>
        </w:rPr>
        <w:t>2</w:t>
      </w:r>
      <w:r w:rsidR="00B52C0A">
        <w:rPr>
          <w:color w:val="000000"/>
          <w:sz w:val="16"/>
          <w:szCs w:val="16"/>
        </w:rPr>
        <w:t xml:space="preserve"> de Julho</w:t>
      </w:r>
      <w:r>
        <w:rPr>
          <w:color w:val="000000"/>
          <w:sz w:val="16"/>
          <w:szCs w:val="16"/>
        </w:rPr>
        <w:t xml:space="preserve"> de 2020  na Faculdade Laboro-DF sob orientação da Professora </w:t>
      </w:r>
      <w:r w:rsidR="00DD54A7">
        <w:rPr>
          <w:color w:val="000000"/>
          <w:sz w:val="16"/>
          <w:szCs w:val="16"/>
          <w:lang w:val="pt-BR"/>
        </w:rPr>
        <w:t>Mestra em Comunicação Bruna Almeida</w:t>
      </w:r>
      <w:r>
        <w:rPr>
          <w:color w:val="000000"/>
          <w:sz w:val="16"/>
          <w:szCs w:val="16"/>
        </w:rPr>
        <w:t xml:space="preserve">, e-mail: </w:t>
      </w:r>
      <w:proofErr w:type="spellStart"/>
      <w:r w:rsidR="00DD54A7">
        <w:rPr>
          <w:color w:val="000000"/>
          <w:sz w:val="16"/>
          <w:szCs w:val="16"/>
          <w:lang w:val="pt-BR"/>
        </w:rPr>
        <w:t>professorabruna.almeida</w:t>
      </w:r>
      <w:proofErr w:type="spellEnd"/>
      <w:r>
        <w:rPr>
          <w:color w:val="000000"/>
          <w:sz w:val="16"/>
          <w:szCs w:val="16"/>
        </w:rPr>
        <w:t>@gmail.com</w:t>
      </w:r>
    </w:p>
  </w:footnote>
  <w:footnote w:id="2">
    <w:p w14:paraId="60A95416" w14:textId="77777777" w:rsidR="00DC3306" w:rsidRDefault="008356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 w:rsidR="00DD54A7">
        <w:rPr>
          <w:color w:val="000000"/>
          <w:sz w:val="16"/>
          <w:szCs w:val="16"/>
        </w:rPr>
        <w:t xml:space="preserve"> </w:t>
      </w:r>
      <w:r w:rsidR="00DD54A7">
        <w:rPr>
          <w:color w:val="000000"/>
          <w:sz w:val="16"/>
          <w:szCs w:val="16"/>
        </w:rPr>
        <w:t>Graduado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 Nutrição. Alun</w:t>
      </w:r>
      <w:r w:rsidR="00DD54A7">
        <w:rPr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do curso de Pós-Graduação em MBA em gestão de unidade de alimentação e nutrição, gastronomia e empreendedorismo em negócios d</w:t>
      </w:r>
      <w:r w:rsidR="00B52C0A">
        <w:rPr>
          <w:color w:val="000000"/>
          <w:sz w:val="16"/>
          <w:szCs w:val="16"/>
        </w:rPr>
        <w:t>e alimentação e-mail: lew.melchior</w:t>
      </w:r>
      <w:r>
        <w:rPr>
          <w:color w:val="000000"/>
          <w:sz w:val="16"/>
          <w:szCs w:val="16"/>
        </w:rPr>
        <w:t>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3AB19" w14:textId="77777777" w:rsidR="00DC3306" w:rsidRDefault="00DC3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"/>
      <w:tblW w:w="8646" w:type="dxa"/>
      <w:tblInd w:w="0" w:type="dxa"/>
      <w:tblLayout w:type="fixed"/>
      <w:tblLook w:val="0400" w:firstRow="0" w:lastRow="0" w:firstColumn="0" w:lastColumn="0" w:noHBand="0" w:noVBand="1"/>
    </w:tblPr>
    <w:tblGrid>
      <w:gridCol w:w="1134"/>
      <w:gridCol w:w="7512"/>
    </w:tblGrid>
    <w:tr w:rsidR="00DC3306" w14:paraId="660A127C" w14:textId="77777777">
      <w:tc>
        <w:tcPr>
          <w:tcW w:w="1134" w:type="dxa"/>
          <w:shd w:val="clear" w:color="auto" w:fill="auto"/>
        </w:tcPr>
        <w:p w14:paraId="2807EC4C" w14:textId="77777777" w:rsidR="00DC3306" w:rsidRDefault="00DC33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  <w:tc>
        <w:tcPr>
          <w:tcW w:w="7512" w:type="dxa"/>
          <w:shd w:val="clear" w:color="auto" w:fill="auto"/>
        </w:tcPr>
        <w:p w14:paraId="5300F028" w14:textId="77777777" w:rsidR="00DC3306" w:rsidRDefault="008356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Calibri"/>
              <w:color w:val="000000"/>
              <w:sz w:val="18"/>
              <w:szCs w:val="18"/>
              <w:u w:val="single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8240" behindDoc="0" locked="0" layoutInCell="1" hidden="0" allowOverlap="1" wp14:anchorId="6C8103BB" wp14:editId="2C790503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2548890" cy="685800"/>
                <wp:effectExtent l="0" t="0" r="0" b="0"/>
                <wp:wrapTopAndBottom distT="0" distB="0"/>
                <wp:docPr id="1" name="image1.jpg" descr="Resultado de imagem para labo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esultado de imagem para labor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889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2B7404BA" w14:textId="77777777" w:rsidR="00DC3306" w:rsidRDefault="00DC3306">
    <w:pPr>
      <w:pBdr>
        <w:top w:val="nil"/>
        <w:left w:val="nil"/>
        <w:bottom w:val="single" w:sz="6" w:space="4" w:color="000000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6"/>
    <w:rsid w:val="00020BC6"/>
    <w:rsid w:val="00193360"/>
    <w:rsid w:val="001F5929"/>
    <w:rsid w:val="00291540"/>
    <w:rsid w:val="00372358"/>
    <w:rsid w:val="003B3830"/>
    <w:rsid w:val="0047779E"/>
    <w:rsid w:val="004E7DD9"/>
    <w:rsid w:val="0051197D"/>
    <w:rsid w:val="005208C9"/>
    <w:rsid w:val="00777C83"/>
    <w:rsid w:val="00782F42"/>
    <w:rsid w:val="0083563D"/>
    <w:rsid w:val="009C002A"/>
    <w:rsid w:val="00AC7E7B"/>
    <w:rsid w:val="00B52C0A"/>
    <w:rsid w:val="00B61D58"/>
    <w:rsid w:val="00BD470D"/>
    <w:rsid w:val="00C25D5B"/>
    <w:rsid w:val="00C35EE0"/>
    <w:rsid w:val="00C57A73"/>
    <w:rsid w:val="00D22F48"/>
    <w:rsid w:val="00D4546D"/>
    <w:rsid w:val="00D55EDE"/>
    <w:rsid w:val="00DC3306"/>
    <w:rsid w:val="00DD54A7"/>
    <w:rsid w:val="00E1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031B"/>
  <w15:docId w15:val="{BF3550A0-96CB-418B-811F-4C5F75B0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a-Latn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sid w:val="00DD54A7"/>
    <w:pPr>
      <w:widowControl w:val="0"/>
      <w:suppressAutoHyphens/>
    </w:pPr>
    <w:rPr>
      <w:rFonts w:eastAsia="Calibri"/>
      <w:color w:val="000000"/>
      <w:kern w:val="1"/>
      <w:sz w:val="20"/>
      <w:szCs w:val="20"/>
      <w:lang w:val="pt-BR" w:eastAsia="en-CA"/>
    </w:rPr>
  </w:style>
  <w:style w:type="character" w:styleId="Refdecomentrio">
    <w:name w:val="annotation reference"/>
    <w:basedOn w:val="Fontepargpadro"/>
    <w:uiPriority w:val="99"/>
    <w:semiHidden/>
    <w:unhideWhenUsed/>
    <w:rsid w:val="00DD54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54A7"/>
    <w:pPr>
      <w:spacing w:after="200"/>
    </w:pPr>
    <w:rPr>
      <w:rFonts w:ascii="Calibri" w:eastAsia="Calibri" w:hAnsi="Calibri"/>
      <w:sz w:val="20"/>
      <w:szCs w:val="20"/>
      <w:lang w:val="fr-FR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54A7"/>
    <w:rPr>
      <w:rFonts w:ascii="Calibri" w:eastAsia="Calibri" w:hAnsi="Calibri"/>
      <w:sz w:val="20"/>
      <w:szCs w:val="20"/>
      <w:lang w:val="fr-F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A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7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22386815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5090994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697</Words>
  <Characters>4304</Characters>
  <Application>Microsoft Office Word</Application>
  <DocSecurity>0</DocSecurity>
  <Lines>130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Lewestter MElchior</dc:creator>
  <cp:lastModifiedBy>Bruna Rafaella Almeida da Costa</cp:lastModifiedBy>
  <cp:revision>3</cp:revision>
  <dcterms:created xsi:type="dcterms:W3CDTF">2020-09-12T01:12:00Z</dcterms:created>
  <dcterms:modified xsi:type="dcterms:W3CDTF">2020-09-15T21:34:00Z</dcterms:modified>
</cp:coreProperties>
</file>