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A0" w:rsidRDefault="00F15660">
      <w:pPr>
        <w:pStyle w:val="Subttulo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O trabalho híbrido na Administração Pública: produtividade e inovação em tempos de pandemia</w:t>
      </w:r>
      <w:r>
        <w:rPr>
          <w:i w:val="0"/>
          <w:color w:val="000000"/>
          <w:sz w:val="24"/>
          <w:szCs w:val="24"/>
          <w:vertAlign w:val="superscript"/>
        </w:rPr>
        <w:footnoteReference w:id="1"/>
      </w:r>
    </w:p>
    <w:p w:rsidR="006C5BA0" w:rsidRDefault="006C5BA0">
      <w:pPr>
        <w:pStyle w:val="Subttulo"/>
        <w:rPr>
          <w:i w:val="0"/>
          <w:color w:val="000000"/>
          <w:sz w:val="26"/>
          <w:szCs w:val="26"/>
        </w:rPr>
      </w:pPr>
    </w:p>
    <w:p w:rsidR="006C5BA0" w:rsidRDefault="00F15660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Danielle COSTA</w:t>
      </w:r>
      <w:r>
        <w:rPr>
          <w:b w:val="0"/>
          <w:i w:val="0"/>
          <w:color w:val="000000"/>
          <w:sz w:val="24"/>
          <w:szCs w:val="24"/>
          <w:vertAlign w:val="superscript"/>
        </w:rPr>
        <w:footnoteReference w:id="2"/>
      </w:r>
    </w:p>
    <w:p w:rsidR="006C5BA0" w:rsidRDefault="00F15660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Bruna ALMEIDA</w:t>
      </w:r>
      <w:r>
        <w:rPr>
          <w:b w:val="0"/>
          <w:i w:val="0"/>
          <w:color w:val="000000"/>
          <w:sz w:val="24"/>
          <w:szCs w:val="24"/>
          <w:vertAlign w:val="superscript"/>
        </w:rPr>
        <w:footnoteReference w:id="3"/>
      </w:r>
    </w:p>
    <w:p w:rsidR="006C5BA0" w:rsidRDefault="00F15660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Faculdade Laboro, MA</w:t>
      </w:r>
    </w:p>
    <w:p w:rsidR="006C5BA0" w:rsidRDefault="006C5BA0">
      <w:pPr>
        <w:pStyle w:val="Subttulo"/>
        <w:rPr>
          <w:b w:val="0"/>
          <w:i w:val="0"/>
          <w:color w:val="000000"/>
          <w:sz w:val="24"/>
          <w:szCs w:val="24"/>
        </w:rPr>
      </w:pPr>
    </w:p>
    <w:p w:rsidR="006C5BA0" w:rsidRDefault="006C5BA0" w:rsidP="005B7D5E">
      <w:pPr>
        <w:pStyle w:val="Subttulo"/>
        <w:jc w:val="left"/>
        <w:rPr>
          <w:i w:val="0"/>
          <w:color w:val="000000"/>
          <w:sz w:val="24"/>
          <w:szCs w:val="24"/>
        </w:rPr>
      </w:pPr>
      <w:bookmarkStart w:id="0" w:name="_GoBack"/>
      <w:bookmarkEnd w:id="0"/>
    </w:p>
    <w:p w:rsidR="006C5BA0" w:rsidRDefault="00F15660">
      <w:pPr>
        <w:pStyle w:val="Subttulo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RESUMO</w:t>
      </w:r>
    </w:p>
    <w:p w:rsidR="006C5BA0" w:rsidRDefault="00F156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Com o advento da Covid-19 pôde-se demonstrar </w:t>
      </w:r>
      <w:r>
        <w:t>às organizações,</w:t>
      </w:r>
      <w:r>
        <w:rPr>
          <w:color w:val="000000"/>
        </w:rPr>
        <w:t xml:space="preserve"> públicas e privadas, a antecipação de forma intensificada do </w:t>
      </w:r>
      <w:proofErr w:type="spellStart"/>
      <w:r>
        <w:rPr>
          <w:color w:val="000000"/>
        </w:rPr>
        <w:t>teletrabalho</w:t>
      </w:r>
      <w:proofErr w:type="spellEnd"/>
      <w:r>
        <w:rPr>
          <w:color w:val="000000"/>
        </w:rPr>
        <w:t xml:space="preserve">. Assim, como possibilidade de flexibilizar as jornadas de trabalho, o modelo híbrido pode se enquadrar como mais uma alternativa promissora para a inovação e ganhos de produtividade na administração pública durante e pós-pandemia. </w:t>
      </w:r>
    </w:p>
    <w:p w:rsidR="006C5BA0" w:rsidRDefault="006C5B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C5BA0" w:rsidRDefault="006C5BA0">
      <w:pPr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</w:rPr>
      </w:pPr>
    </w:p>
    <w:p w:rsidR="006C5BA0" w:rsidRDefault="00F156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PALAVRAS-CHAVE: </w:t>
      </w:r>
      <w:proofErr w:type="spellStart"/>
      <w:r>
        <w:rPr>
          <w:color w:val="000000"/>
        </w:rPr>
        <w:t>Teletrabalho</w:t>
      </w:r>
      <w:proofErr w:type="spellEnd"/>
      <w:r>
        <w:rPr>
          <w:color w:val="000000"/>
        </w:rPr>
        <w:t xml:space="preserve">; Modelo híbrido; Inovação; Produtividade; Pandemia. </w:t>
      </w:r>
    </w:p>
    <w:p w:rsidR="00151FFC" w:rsidRDefault="00151FFC" w:rsidP="00F94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6C5BA0" w:rsidRDefault="00F15660" w:rsidP="00151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A diminuição da necessidade da presença física no local de trabalho devido às diversas tecnologias disponíveis, tem possibilitado que as atividades laborais possam ser realizadas em qualquer lugar. O </w:t>
      </w:r>
      <w:proofErr w:type="spellStart"/>
      <w:r>
        <w:rPr>
          <w:color w:val="000000"/>
        </w:rPr>
        <w:t>teletrabalho</w:t>
      </w:r>
      <w:proofErr w:type="spellEnd"/>
      <w:r>
        <w:rPr>
          <w:color w:val="000000"/>
        </w:rPr>
        <w:t xml:space="preserve"> foi rapidamente incorporado pelas organizações no Brasil com o advento da Covid-19, e consoante a essa antecipação acelerada de </w:t>
      </w:r>
      <w:r w:rsidR="00404D3C">
        <w:rPr>
          <w:color w:val="000000"/>
        </w:rPr>
        <w:t xml:space="preserve">um modelo pré-existente, que </w:t>
      </w:r>
      <w:r>
        <w:rPr>
          <w:color w:val="000000"/>
        </w:rPr>
        <w:t xml:space="preserve">vinha sendo utilizado anterior a necessidade do isolamento social, forçou o setor público a se readaptar e a repensar seu modo de trabalho perante a um contexto emergente. </w:t>
      </w:r>
    </w:p>
    <w:p w:rsidR="006C5BA0" w:rsidRDefault="00F15660" w:rsidP="00151FFC">
      <w:pPr>
        <w:shd w:val="clear" w:color="auto" w:fill="FFFFFF"/>
        <w:spacing w:line="360" w:lineRule="auto"/>
        <w:ind w:firstLine="851"/>
        <w:jc w:val="both"/>
      </w:pPr>
      <w:r>
        <w:t xml:space="preserve">Define-se </w:t>
      </w:r>
      <w:proofErr w:type="spellStart"/>
      <w:r>
        <w:t>teletrabalho</w:t>
      </w:r>
      <w:proofErr w:type="spellEnd"/>
      <w:r>
        <w:t xml:space="preserve"> como todo trabalho realizado a partir de um local diferente do local de trabalho convencional, por meio do acesso aos sistemas de computador da organização com tecnologias da informação e comunicações (AGUILERA et al., 2016), seus sinônimos mais usados são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telecommunting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telework</w:t>
      </w:r>
      <w:proofErr w:type="spellEnd"/>
      <w:r>
        <w:rPr>
          <w:color w:val="000000"/>
        </w:rPr>
        <w:t>, home office, trabalho remoto, trabalho a distância, trabalho virtual, trabalho flexível, entre outros (BARROS; SILVA, 2010; GASPAR et al., 2012). De fato,</w:t>
      </w:r>
      <w:r>
        <w:t xml:space="preserve"> as experiências </w:t>
      </w:r>
      <w:r>
        <w:lastRenderedPageBreak/>
        <w:t xml:space="preserve">de </w:t>
      </w:r>
      <w:proofErr w:type="spellStart"/>
      <w:r>
        <w:t>teletrabalho</w:t>
      </w:r>
      <w:proofErr w:type="spellEnd"/>
      <w:r>
        <w:t xml:space="preserve"> existentes têm se mostrado bem-sucedidas, tanto no regime estatutário, bem como no celetista (SILVA, 2015).</w:t>
      </w:r>
    </w:p>
    <w:p w:rsidR="006C5BA0" w:rsidRDefault="00F15660" w:rsidP="00151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</w:rPr>
      </w:pPr>
      <w:r>
        <w:t xml:space="preserve">A </w:t>
      </w:r>
      <w:r>
        <w:rPr>
          <w:color w:val="000000"/>
        </w:rPr>
        <w:t xml:space="preserve">flexibilidade entre o presencial e o remoto </w:t>
      </w:r>
      <w:r>
        <w:t>torna-se</w:t>
      </w:r>
      <w:r>
        <w:rPr>
          <w:color w:val="000000"/>
        </w:rPr>
        <w:t xml:space="preserve"> uma oportunidade de a organização pública driblar as limitações que surgiram durante todo esse período, e mediante a este cenário cada vez mais consolidado, tem-se</w:t>
      </w:r>
      <w:r>
        <w:t xml:space="preserve"> o </w:t>
      </w:r>
      <w:r>
        <w:rPr>
          <w:color w:val="000000"/>
        </w:rPr>
        <w:t>seguinte</w:t>
      </w:r>
      <w:r>
        <w:t xml:space="preserve"> </w:t>
      </w:r>
      <w:r>
        <w:rPr>
          <w:color w:val="000000"/>
        </w:rPr>
        <w:t xml:space="preserve">questionamento: Como a </w:t>
      </w:r>
      <w:r>
        <w:t>adoçã</w:t>
      </w:r>
      <w:r>
        <w:rPr>
          <w:color w:val="000000"/>
        </w:rPr>
        <w:t>o do trabalho híbrido na Administração Pública pode potencializar a produtividade e a inovação em tempos de pandemia?</w:t>
      </w:r>
    </w:p>
    <w:p w:rsidR="006C5BA0" w:rsidRDefault="00F15660" w:rsidP="00151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</w:pPr>
      <w:r>
        <w:rPr>
          <w:color w:val="000000"/>
        </w:rPr>
        <w:t xml:space="preserve">O trabalho híbrido é a combinação do trabalho presencial com o remoto. Este regime tem por característica proporcionar flexibilidade e autonomia para os gestores e colaboradores quanto </w:t>
      </w:r>
      <w:r>
        <w:t>à organização</w:t>
      </w:r>
      <w:r>
        <w:rPr>
          <w:color w:val="000000"/>
        </w:rPr>
        <w:t xml:space="preserve"> de suas rotinas, buscando unir as potencialidades dos dois modelos de trabalho</w:t>
      </w:r>
      <w:r>
        <w:t>.</w:t>
      </w:r>
    </w:p>
    <w:p w:rsidR="006C5BA0" w:rsidRDefault="00F15660" w:rsidP="00151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" w:eastAsia="Times" w:hAnsi="Times" w:cs="Times"/>
        </w:rPr>
      </w:pPr>
      <w:r>
        <w:rPr>
          <w:color w:val="000000"/>
        </w:rPr>
        <w:t xml:space="preserve">O modelo híbrido é o ideal. Nem o tempo todo em casa, </w:t>
      </w:r>
      <w:r>
        <w:t>nem a perda</w:t>
      </w:r>
      <w:r>
        <w:rPr>
          <w:color w:val="000000"/>
        </w:rPr>
        <w:t xml:space="preserve"> de duas horas no trânsito (</w:t>
      </w:r>
      <w:r>
        <w:t>AGÊNCIA DO SENADO</w:t>
      </w:r>
      <w:r>
        <w:rPr>
          <w:color w:val="000000"/>
        </w:rPr>
        <w:t xml:space="preserve">, 2020). </w:t>
      </w:r>
      <w:r>
        <w:rPr>
          <w:rFonts w:ascii="Times" w:eastAsia="Times" w:hAnsi="Times" w:cs="Times"/>
        </w:rPr>
        <w:t>Durante o período de pandemia, a principal vantagem do modelo híbrido de trabalho é permitir uma menor quantidade de funcionários por dia no mesmo ambiente, o que evita aglomerações e a dissemin</w:t>
      </w:r>
      <w:r w:rsidR="00151FFC">
        <w:rPr>
          <w:rFonts w:ascii="Times" w:eastAsia="Times" w:hAnsi="Times" w:cs="Times"/>
        </w:rPr>
        <w:t>ação da doença (MYWORK, 2021).</w:t>
      </w:r>
    </w:p>
    <w:p w:rsidR="006C5BA0" w:rsidRDefault="00F15660" w:rsidP="00151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</w:pPr>
      <w:r>
        <w:t>Através</w:t>
      </w:r>
      <w:r>
        <w:rPr>
          <w:color w:val="000000"/>
        </w:rPr>
        <w:t xml:space="preserve"> da </w:t>
      </w:r>
      <w:r>
        <w:t xml:space="preserve">implementação dessa nova estratégia pode-se garantir para o setor público o aproveitamento dos impactos positivos esperados no que diz respeito a otimização das atividades e comprometimento dos servidores com os objetivos institucionais, </w:t>
      </w:r>
      <w:r w:rsidR="0027328D">
        <w:t xml:space="preserve">aumento da </w:t>
      </w:r>
      <w:r>
        <w:t xml:space="preserve">descentralização, redução de custos operacionais da organização, melhoria na qualidade de vida dos servidores, bem como ações mais voltadas para os resultados, possibilitando um atendimento mais eficiente e </w:t>
      </w:r>
      <w:r w:rsidR="00AC7BAA">
        <w:t>transparente.</w:t>
      </w:r>
    </w:p>
    <w:p w:rsidR="00F94176" w:rsidRDefault="0027328D" w:rsidP="00151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</w:pPr>
      <w:r>
        <w:t xml:space="preserve">A transição para o mundo digital é evidente e os novos moldes de trabalho tornaram-se algo vital para a continuidade dos serviços públicos prestados. O uso compulsório das tecnologias são fatores essenciais para que a </w:t>
      </w:r>
      <w:r w:rsidR="00034C91">
        <w:t>máquina pública</w:t>
      </w:r>
      <w:r>
        <w:t xml:space="preserve"> inove em seu meio organizacional. </w:t>
      </w:r>
    </w:p>
    <w:p w:rsidR="0027328D" w:rsidRDefault="00AC7BAA" w:rsidP="00151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</w:pPr>
      <w:r>
        <w:t xml:space="preserve">Logo, a adoção do </w:t>
      </w:r>
      <w:r w:rsidR="00034C91">
        <w:t>trabalho híbrido</w:t>
      </w:r>
      <w:r>
        <w:t xml:space="preserve"> no setor público poderá como estratégia laboral proporcionar</w:t>
      </w:r>
      <w:r w:rsidR="00034C91">
        <w:t xml:space="preserve"> </w:t>
      </w:r>
      <w:r w:rsidR="003B1F6D">
        <w:t xml:space="preserve">a </w:t>
      </w:r>
      <w:r w:rsidR="00034C91">
        <w:t>valorização do capital humano como fonte de realização do trabalho</w:t>
      </w:r>
      <w:r w:rsidR="00404D3C">
        <w:t>,</w:t>
      </w:r>
      <w:r w:rsidR="00F94176">
        <w:t xml:space="preserve"> possibilitando maximizar sua produtividade</w:t>
      </w:r>
      <w:r w:rsidR="00404D3C">
        <w:t>, além de tornar</w:t>
      </w:r>
      <w:r w:rsidR="00F94176">
        <w:t xml:space="preserve"> seus processos mais dinâmicos tanto dentro quanto fora da organização. Atendendo</w:t>
      </w:r>
      <w:r w:rsidR="00404D3C">
        <w:t xml:space="preserve"> assim,</w:t>
      </w:r>
      <w:r w:rsidR="00F94176">
        <w:t xml:space="preserve"> com qualidade e presteza as demandas da sociedade. </w:t>
      </w:r>
    </w:p>
    <w:p w:rsidR="00F94176" w:rsidRDefault="00F941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6C5BA0" w:rsidRDefault="00F15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REFERÊNCIAS</w:t>
      </w:r>
    </w:p>
    <w:p w:rsidR="006C5BA0" w:rsidRDefault="006C5B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C5BA0" w:rsidRDefault="00F15660" w:rsidP="006B639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BARROS, A. M.; SILVA, J. R. G. </w:t>
      </w:r>
      <w:r>
        <w:rPr>
          <w:b/>
          <w:color w:val="000000"/>
        </w:rPr>
        <w:t xml:space="preserve">Percepções dos indivíduos sobre as consequências do </w:t>
      </w:r>
      <w:proofErr w:type="spellStart"/>
      <w:r>
        <w:rPr>
          <w:b/>
          <w:color w:val="000000"/>
        </w:rPr>
        <w:t>teletrabalho</w:t>
      </w:r>
      <w:proofErr w:type="spellEnd"/>
      <w:r>
        <w:rPr>
          <w:b/>
          <w:color w:val="000000"/>
        </w:rPr>
        <w:t xml:space="preserve"> na configuração home-office: estudo de caso na Shell Brasil</w:t>
      </w:r>
      <w:r>
        <w:rPr>
          <w:color w:val="000000"/>
        </w:rPr>
        <w:t>. Cadernos EBAPE. BR, v. 8, n. 1, 2010.</w:t>
      </w:r>
    </w:p>
    <w:p w:rsidR="006C5BA0" w:rsidRDefault="006C5BA0" w:rsidP="006B639F">
      <w:pPr>
        <w:shd w:val="clear" w:color="auto" w:fill="FFFFFF"/>
        <w:jc w:val="both"/>
        <w:rPr>
          <w:color w:val="000000"/>
        </w:rPr>
      </w:pPr>
    </w:p>
    <w:p w:rsidR="006C5BA0" w:rsidRDefault="00F15660" w:rsidP="006B639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GASPAR, M. A.; SANTOS, S. A.; DONAIRE, D.; KUNIYOSHI, M. S.; PREARO, L. C. </w:t>
      </w:r>
      <w:r>
        <w:rPr>
          <w:b/>
          <w:color w:val="000000"/>
        </w:rPr>
        <w:t xml:space="preserve">Gestão do conhecimento em ambientes de </w:t>
      </w:r>
      <w:proofErr w:type="spellStart"/>
      <w:r>
        <w:rPr>
          <w:b/>
          <w:color w:val="000000"/>
        </w:rPr>
        <w:t>teletrabalho</w:t>
      </w:r>
      <w:proofErr w:type="spellEnd"/>
      <w:r>
        <w:rPr>
          <w:b/>
          <w:color w:val="000000"/>
        </w:rPr>
        <w:t>: um estudo em empresas atuantes na indústria de software no Brasil. In: VII Encontro de Estudos Organizacionais. Anais.</w:t>
      </w:r>
      <w:r>
        <w:rPr>
          <w:color w:val="000000"/>
        </w:rPr>
        <w:t xml:space="preserve"> Curitiba: ANPAD, 2012.</w:t>
      </w:r>
    </w:p>
    <w:p w:rsidR="006C5BA0" w:rsidRDefault="006C5BA0" w:rsidP="006B639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5BA0" w:rsidRDefault="00F15660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AGUILERA, A., et al. </w:t>
      </w:r>
      <w:r w:rsidRPr="005B7D5E">
        <w:rPr>
          <w:color w:val="000000"/>
          <w:lang w:val="en-US"/>
        </w:rPr>
        <w:t xml:space="preserve">Home-based telework in France: Characteristics, barriers and perspectives. </w:t>
      </w:r>
      <w:proofErr w:type="spellStart"/>
      <w:r>
        <w:rPr>
          <w:b/>
          <w:color w:val="000000"/>
        </w:rPr>
        <w:t>Transportation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Research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Part</w:t>
      </w:r>
      <w:proofErr w:type="spellEnd"/>
      <w:r>
        <w:rPr>
          <w:b/>
          <w:color w:val="000000"/>
        </w:rPr>
        <w:t xml:space="preserve"> A: </w:t>
      </w:r>
      <w:proofErr w:type="spellStart"/>
      <w:r>
        <w:rPr>
          <w:b/>
          <w:color w:val="000000"/>
        </w:rPr>
        <w:t>Policy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Practice</w:t>
      </w:r>
      <w:proofErr w:type="spellEnd"/>
      <w:r>
        <w:rPr>
          <w:color w:val="000000"/>
        </w:rPr>
        <w:t>, v. 92, p. 1-11, 2016.</w:t>
      </w:r>
    </w:p>
    <w:p w:rsidR="006C5BA0" w:rsidRDefault="006C5BA0" w:rsidP="006B639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15660" w:rsidRDefault="00F15660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Mendes, Ricardo &amp; Carlos Dias Oliveira, Lucio &amp; Veiga, Anne. (2020). </w:t>
      </w:r>
      <w:r>
        <w:rPr>
          <w:b/>
          <w:color w:val="000000"/>
        </w:rPr>
        <w:t xml:space="preserve">A viabilidade do </w:t>
      </w:r>
      <w:proofErr w:type="spellStart"/>
      <w:r>
        <w:rPr>
          <w:b/>
          <w:color w:val="000000"/>
        </w:rPr>
        <w:t>teletrabalho</w:t>
      </w:r>
      <w:proofErr w:type="spellEnd"/>
      <w:r>
        <w:rPr>
          <w:b/>
          <w:color w:val="000000"/>
        </w:rPr>
        <w:t xml:space="preserve"> na administração pública brasileira.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Brazilian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. 6. 12745-12759. 10.34117/bjdv6n3-222. </w:t>
      </w:r>
    </w:p>
    <w:p w:rsidR="00F15660" w:rsidRDefault="00F15660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C5BA0" w:rsidRDefault="00F15660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SILVA. Aimée </w:t>
      </w:r>
      <w:proofErr w:type="spellStart"/>
      <w:r>
        <w:rPr>
          <w:color w:val="000000"/>
        </w:rPr>
        <w:t>Mastella</w:t>
      </w:r>
      <w:proofErr w:type="spellEnd"/>
      <w:r>
        <w:rPr>
          <w:color w:val="000000"/>
        </w:rPr>
        <w:t xml:space="preserve"> Sampaio. </w:t>
      </w:r>
      <w:r>
        <w:rPr>
          <w:b/>
          <w:color w:val="000000"/>
        </w:rPr>
        <w:t xml:space="preserve">A aplicação do </w:t>
      </w:r>
      <w:proofErr w:type="spellStart"/>
      <w:r>
        <w:rPr>
          <w:b/>
          <w:color w:val="000000"/>
        </w:rPr>
        <w:t>teletrabalho</w:t>
      </w:r>
      <w:proofErr w:type="spellEnd"/>
      <w:r>
        <w:rPr>
          <w:b/>
          <w:color w:val="000000"/>
        </w:rPr>
        <w:t xml:space="preserve"> no serviço público </w:t>
      </w:r>
      <w:proofErr w:type="spellStart"/>
      <w:r>
        <w:rPr>
          <w:b/>
          <w:color w:val="000000"/>
        </w:rPr>
        <w:t>brasileiro.</w:t>
      </w:r>
      <w:r>
        <w:rPr>
          <w:color w:val="000000"/>
        </w:rPr>
        <w:t>p</w:t>
      </w:r>
      <w:proofErr w:type="spellEnd"/>
      <w:r>
        <w:rPr>
          <w:color w:val="000000"/>
        </w:rPr>
        <w:t xml:space="preserve">. 1-16, 2015. Disponível: &lt;http://coral.ufsm.br/congressodireito/anais/2015/1-2.pdf&gt;. Acesso em: 08 de março de 2021. </w:t>
      </w:r>
    </w:p>
    <w:p w:rsidR="006C5BA0" w:rsidRDefault="006C5BA0" w:rsidP="006B639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5BA0" w:rsidRDefault="00F15660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VIEIRA, Cristiane Gonçalves. </w:t>
      </w:r>
      <w:proofErr w:type="spellStart"/>
      <w:r>
        <w:rPr>
          <w:rFonts w:ascii="Times" w:eastAsia="Times" w:hAnsi="Times" w:cs="Times"/>
        </w:rPr>
        <w:t>Teletrabalho</w:t>
      </w:r>
      <w:proofErr w:type="spellEnd"/>
      <w:r>
        <w:rPr>
          <w:rFonts w:ascii="Times" w:eastAsia="Times" w:hAnsi="Times" w:cs="Times"/>
        </w:rPr>
        <w:t xml:space="preserve"> no Setor Público. </w:t>
      </w:r>
      <w:r>
        <w:rPr>
          <w:rFonts w:ascii="Times" w:eastAsia="Times" w:hAnsi="Times" w:cs="Times"/>
          <w:b/>
        </w:rPr>
        <w:t>Cadernos</w:t>
      </w:r>
      <w:r>
        <w:rPr>
          <w:rFonts w:ascii="Times" w:eastAsia="Times" w:hAnsi="Times" w:cs="Times"/>
        </w:rPr>
        <w:t>, [</w:t>
      </w:r>
      <w:proofErr w:type="spellStart"/>
      <w:r>
        <w:rPr>
          <w:rFonts w:ascii="Times" w:eastAsia="Times" w:hAnsi="Times" w:cs="Times"/>
        </w:rPr>
        <w:t>S.l</w:t>
      </w:r>
      <w:proofErr w:type="spellEnd"/>
      <w:r>
        <w:rPr>
          <w:rFonts w:ascii="Times" w:eastAsia="Times" w:hAnsi="Times" w:cs="Times"/>
        </w:rPr>
        <w:t>.], v. 1, n. 6, p. 93-115, dez. 2020. ISSN 2595-2412. Disponível em: &lt;</w:t>
      </w:r>
      <w:hyperlink r:id="rId8">
        <w:r w:rsidRPr="006B639F">
          <w:rPr>
            <w:rFonts w:ascii="Times" w:eastAsia="Times" w:hAnsi="Times" w:cs="Times"/>
            <w:color w:val="000000" w:themeColor="text1"/>
          </w:rPr>
          <w:t>https://www.tce.sp.gov.br/epcp/cadernos/index.php/CM/article/view/108</w:t>
        </w:r>
      </w:hyperlink>
      <w:r>
        <w:rPr>
          <w:rFonts w:ascii="Times" w:eastAsia="Times" w:hAnsi="Times" w:cs="Times"/>
        </w:rPr>
        <w:t>&gt;. Acesso em: 12 de março de 2021.</w:t>
      </w:r>
    </w:p>
    <w:p w:rsidR="006C5BA0" w:rsidRPr="006B639F" w:rsidRDefault="006C5BA0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C5BA0" w:rsidRDefault="006B639F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  <w:r w:rsidRPr="006B639F">
        <w:t>SENADO</w:t>
      </w:r>
      <w:r w:rsidRPr="006B639F">
        <w:rPr>
          <w:b/>
        </w:rPr>
        <w:t xml:space="preserve">. </w:t>
      </w:r>
      <w:proofErr w:type="spellStart"/>
      <w:r w:rsidRPr="006B639F">
        <w:rPr>
          <w:b/>
        </w:rPr>
        <w:t>Teletrabalho</w:t>
      </w:r>
      <w:proofErr w:type="spellEnd"/>
      <w:r w:rsidRPr="006B639F">
        <w:rPr>
          <w:b/>
        </w:rPr>
        <w:t xml:space="preserve"> ganha impulso na pandemia, mas regulação é objeto de controvérsia.</w:t>
      </w:r>
      <w:r w:rsidRPr="006B639F">
        <w:t xml:space="preserve"> Disponível em: </w:t>
      </w:r>
      <w:r w:rsidRPr="006B639F">
        <w:rPr>
          <w:color w:val="000000" w:themeColor="text1"/>
        </w:rPr>
        <w:t>&lt;</w:t>
      </w:r>
      <w:r w:rsidR="00F15660" w:rsidRPr="006B639F">
        <w:rPr>
          <w:color w:val="000000" w:themeColor="text1"/>
          <w:sz w:val="22"/>
          <w:szCs w:val="22"/>
        </w:rPr>
        <w:t>https://www12.senado.leg.br/noticias/infomaterias/2020/08/07/teletrabalho-ganha-impulso-na-pandemia-mas-regulacao-e-objeto-de-controversia</w:t>
      </w:r>
      <w:r w:rsidRPr="006B639F">
        <w:rPr>
          <w:color w:val="000000" w:themeColor="text1"/>
          <w:sz w:val="22"/>
          <w:szCs w:val="22"/>
        </w:rPr>
        <w:t xml:space="preserve">&gt;. Acesso em: 08 de março de 2021. </w:t>
      </w:r>
    </w:p>
    <w:p w:rsidR="006B639F" w:rsidRPr="006B639F" w:rsidRDefault="006B639F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</w:p>
    <w:p w:rsidR="006B639F" w:rsidRPr="006B639F" w:rsidRDefault="006B639F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MYWORK. </w:t>
      </w:r>
      <w:r w:rsidRPr="006B639F">
        <w:rPr>
          <w:b/>
          <w:color w:val="000000" w:themeColor="text1"/>
        </w:rPr>
        <w:t>Trabalho híbrido o guia completo.</w:t>
      </w:r>
      <w:r>
        <w:rPr>
          <w:color w:val="000000" w:themeColor="text1"/>
        </w:rPr>
        <w:t xml:space="preserve"> Disponível em: &lt;</w:t>
      </w:r>
      <w:hyperlink r:id="rId9">
        <w:r w:rsidRPr="006B639F">
          <w:rPr>
            <w:color w:val="000000" w:themeColor="text1"/>
            <w:sz w:val="22"/>
            <w:szCs w:val="22"/>
          </w:rPr>
          <w:t>https://www.mywork.com.br/blog/trabalho-hibrido-o-guia-completo/amp/</w:t>
        </w:r>
      </w:hyperlink>
      <w:r>
        <w:rPr>
          <w:color w:val="000000" w:themeColor="text1"/>
          <w:sz w:val="22"/>
          <w:szCs w:val="22"/>
        </w:rPr>
        <w:t>&gt;. Acesso em: 08 de março de 2021.</w:t>
      </w:r>
    </w:p>
    <w:p w:rsidR="006B639F" w:rsidRPr="006B639F" w:rsidRDefault="006B639F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</w:p>
    <w:p w:rsidR="006B639F" w:rsidRPr="006B639F" w:rsidRDefault="006B639F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VINDALINK. </w:t>
      </w:r>
      <w:r w:rsidRPr="006B639F">
        <w:rPr>
          <w:b/>
          <w:color w:val="000000" w:themeColor="text1"/>
        </w:rPr>
        <w:t>Modelo de trabalho híbrido.</w:t>
      </w:r>
      <w:r>
        <w:rPr>
          <w:color w:val="000000" w:themeColor="text1"/>
        </w:rPr>
        <w:t xml:space="preserve"> Disponível em: &lt;</w:t>
      </w:r>
      <w:hyperlink r:id="rId10">
        <w:r w:rsidRPr="006B639F">
          <w:rPr>
            <w:color w:val="000000" w:themeColor="text1"/>
            <w:sz w:val="22"/>
            <w:szCs w:val="22"/>
          </w:rPr>
          <w:t>https://site.vidalink.com.br/site/blog/3267/modelo-de-trabalho-hibrido/</w:t>
        </w:r>
      </w:hyperlink>
      <w:r>
        <w:rPr>
          <w:color w:val="000000" w:themeColor="text1"/>
          <w:sz w:val="22"/>
          <w:szCs w:val="22"/>
        </w:rPr>
        <w:t xml:space="preserve">&gt;. Acesso em: 07 de março de 2021. </w:t>
      </w:r>
    </w:p>
    <w:p w:rsidR="006C5BA0" w:rsidRDefault="006C5BA0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C5BA0" w:rsidRDefault="006C5BA0" w:rsidP="006B6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sectPr w:rsidR="006C5BA0">
      <w:headerReference w:type="default" r:id="rId11"/>
      <w:footerReference w:type="even" r:id="rId12"/>
      <w:footerReference w:type="default" r:id="rId13"/>
      <w:pgSz w:w="11907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B6" w:rsidRDefault="007B78B6">
      <w:r>
        <w:separator/>
      </w:r>
    </w:p>
  </w:endnote>
  <w:endnote w:type="continuationSeparator" w:id="0">
    <w:p w:rsidR="007B78B6" w:rsidRDefault="007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60" w:rsidRDefault="00F156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5660" w:rsidRDefault="00F156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60" w:rsidRDefault="00F156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B7D5E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  <w:p w:rsidR="00F15660" w:rsidRDefault="00F156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B6" w:rsidRDefault="007B78B6">
      <w:r>
        <w:separator/>
      </w:r>
    </w:p>
  </w:footnote>
  <w:footnote w:type="continuationSeparator" w:id="0">
    <w:p w:rsidR="007B78B6" w:rsidRDefault="007B78B6">
      <w:r>
        <w:continuationSeparator/>
      </w:r>
    </w:p>
  </w:footnote>
  <w:footnote w:id="1">
    <w:p w:rsidR="00F15660" w:rsidRDefault="00F15660" w:rsidP="00151F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Trabalho apresentado para a disciplina de Produção e Inovação Científica da Faculdade Laboro realizada no dia 20 de fevereiro de 2021 na unidade Laboro em São Luís</w:t>
      </w:r>
    </w:p>
  </w:footnote>
  <w:footnote w:id="2">
    <w:p w:rsidR="00F15660" w:rsidRDefault="00F15660" w:rsidP="00151F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Danielle </w:t>
      </w:r>
      <w:proofErr w:type="spellStart"/>
      <w:r>
        <w:rPr>
          <w:color w:val="000000"/>
          <w:sz w:val="20"/>
          <w:szCs w:val="20"/>
        </w:rPr>
        <w:t>Jennefy</w:t>
      </w:r>
      <w:proofErr w:type="spellEnd"/>
      <w:r>
        <w:rPr>
          <w:color w:val="000000"/>
          <w:sz w:val="20"/>
          <w:szCs w:val="20"/>
        </w:rPr>
        <w:t xml:space="preserve"> Sampaio Costa. Gestão Pública. E-mail: danielle25costa@hotmail.com</w:t>
      </w:r>
    </w:p>
  </w:footnote>
  <w:footnote w:id="3">
    <w:p w:rsidR="00F15660" w:rsidRDefault="00F15660" w:rsidP="00151F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Orientadora do trabalho. Professora da Faculdade Laboro. Mestra em Comunicação. E-mail: professorabruna.almeida@gmail.com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60" w:rsidRDefault="00F156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"/>
      <w:tblW w:w="8646" w:type="dxa"/>
      <w:tblInd w:w="0" w:type="dxa"/>
      <w:tblLayout w:type="fixed"/>
      <w:tblLook w:val="0400" w:firstRow="0" w:lastRow="0" w:firstColumn="0" w:lastColumn="0" w:noHBand="0" w:noVBand="1"/>
    </w:tblPr>
    <w:tblGrid>
      <w:gridCol w:w="1134"/>
      <w:gridCol w:w="7512"/>
    </w:tblGrid>
    <w:tr w:rsidR="00F15660">
      <w:tc>
        <w:tcPr>
          <w:tcW w:w="1134" w:type="dxa"/>
          <w:shd w:val="clear" w:color="auto" w:fill="auto"/>
        </w:tcPr>
        <w:p w:rsidR="00F15660" w:rsidRDefault="00F156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7512" w:type="dxa"/>
          <w:shd w:val="clear" w:color="auto" w:fill="auto"/>
        </w:tcPr>
        <w:p w:rsidR="00F15660" w:rsidRDefault="00F156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2548890" cy="685800"/>
                <wp:effectExtent l="0" t="0" r="0" b="0"/>
                <wp:wrapTopAndBottom distT="0" distB="0"/>
                <wp:docPr id="4" name="image1.jpg" descr="Resultado de imagem para labo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sultado de imagem para labor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89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15660" w:rsidRDefault="00F15660">
    <w:pPr>
      <w:pBdr>
        <w:top w:val="nil"/>
        <w:left w:val="nil"/>
        <w:bottom w:val="single" w:sz="6" w:space="4" w:color="000000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A0"/>
    <w:rsid w:val="00034C91"/>
    <w:rsid w:val="00151FFC"/>
    <w:rsid w:val="0027328D"/>
    <w:rsid w:val="00381916"/>
    <w:rsid w:val="003B1F6D"/>
    <w:rsid w:val="00404D3C"/>
    <w:rsid w:val="00505821"/>
    <w:rsid w:val="005B7D5E"/>
    <w:rsid w:val="006B32BB"/>
    <w:rsid w:val="006B639F"/>
    <w:rsid w:val="006C5BA0"/>
    <w:rsid w:val="007B78B6"/>
    <w:rsid w:val="00AC7BAA"/>
    <w:rsid w:val="00B42A1A"/>
    <w:rsid w:val="00C653C6"/>
    <w:rsid w:val="00F15660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4215-E5DF-484A-BA33-7B3D973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jc w:val="center"/>
    </w:pPr>
    <w:rPr>
      <w:b/>
      <w:i/>
      <w:sz w:val="32"/>
      <w:szCs w:val="32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14B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B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B7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B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B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B7A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B7A"/>
    <w:rPr>
      <w:rFonts w:ascii="Segoe UI" w:hAnsi="Segoe UI"/>
      <w:sz w:val="18"/>
      <w:szCs w:val="18"/>
    </w:rPr>
  </w:style>
  <w:style w:type="character" w:customStyle="1" w:styleId="ff7">
    <w:name w:val="ff7"/>
    <w:basedOn w:val="Fontepargpadro"/>
    <w:rsid w:val="00D675D0"/>
  </w:style>
  <w:style w:type="character" w:customStyle="1" w:styleId="ff3">
    <w:name w:val="ff3"/>
    <w:basedOn w:val="Fontepargpadro"/>
    <w:rsid w:val="00D675D0"/>
  </w:style>
  <w:style w:type="character" w:customStyle="1" w:styleId="ws4">
    <w:name w:val="ws4"/>
    <w:basedOn w:val="Fontepargpadro"/>
    <w:rsid w:val="00D675D0"/>
  </w:style>
  <w:style w:type="character" w:customStyle="1" w:styleId="lsa">
    <w:name w:val="lsa"/>
    <w:basedOn w:val="Fontepargpadro"/>
    <w:rsid w:val="00D675D0"/>
  </w:style>
  <w:style w:type="character" w:customStyle="1" w:styleId="SubttuloChar">
    <w:name w:val="Subtítulo Char"/>
    <w:basedOn w:val="Fontepargpadro"/>
    <w:link w:val="Subttulo"/>
    <w:rsid w:val="00BF1E14"/>
    <w:rPr>
      <w:b/>
      <w:i/>
      <w:sz w:val="32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F1E14"/>
  </w:style>
  <w:style w:type="character" w:styleId="Forte">
    <w:name w:val="Strong"/>
    <w:basedOn w:val="Fontepargpadro"/>
    <w:uiPriority w:val="22"/>
    <w:qFormat/>
    <w:rsid w:val="00E2742C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epcp/cadernos/index.php/CM/article/view/1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.vidalink.com.br/site/blog/3267/modelo-de-trabalho-hibri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work.com.br/blog/trabalho-hibrido-o-guia-completo/am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ZcgGUp9NiKIram6yXsIDtyk/Q==">AMUW2mWzcjbi2SOQurOaDwfwh8xVQ3X4Ma4QU0oYhyFHAJhmCAkrz/f+aNVWXF9/gkSo9ocQA2BXUMgInEPDPyKjVoZ1/EWOYc5C4cvJ8MgTF2czdc7cJnCPGqp+73dz9PfriWt1HMQW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CF1FF1-BDFE-41A5-BAEB-C065C6B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cp:lastModifiedBy>Bruna Rafaella Almeida da Costa</cp:lastModifiedBy>
  <cp:revision>4</cp:revision>
  <dcterms:created xsi:type="dcterms:W3CDTF">2021-03-15T13:34:00Z</dcterms:created>
  <dcterms:modified xsi:type="dcterms:W3CDTF">2021-04-21T17:21:00Z</dcterms:modified>
</cp:coreProperties>
</file>